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1" w:rsidRDefault="00BA6791" w:rsidP="00BA6791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BA6791" w:rsidRDefault="00BA6791" w:rsidP="00BA6791">
      <w:pPr>
        <w:ind w:firstLine="708"/>
        <w:jc w:val="both"/>
        <w:rPr>
          <w:b/>
        </w:rPr>
      </w:pPr>
      <w:bookmarkStart w:id="0" w:name="_GoBack"/>
      <w:bookmarkEnd w:id="0"/>
    </w:p>
    <w:p w:rsidR="00BA6791" w:rsidRPr="004D4C1F" w:rsidRDefault="00BA6791" w:rsidP="00BA6791">
      <w:pPr>
        <w:ind w:firstLine="708"/>
        <w:jc w:val="both"/>
      </w:pPr>
      <w:r w:rsidRPr="004D4C1F">
        <w:t>Случаев перерасчета платы за нарушения качества  содержания и ремонта  общего имущества в многоквартирном доме  не было.</w:t>
      </w:r>
    </w:p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1"/>
    <w:rsid w:val="001934D8"/>
    <w:rsid w:val="00B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2015-03-27T06:34:00Z</dcterms:created>
  <dcterms:modified xsi:type="dcterms:W3CDTF">2015-03-27T06:36:00Z</dcterms:modified>
</cp:coreProperties>
</file>